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A2" w:rsidRDefault="006964A2" w:rsidP="00406031">
      <w:pPr>
        <w:spacing w:before="120" w:after="0" w:line="240" w:lineRule="auto"/>
        <w:ind w:firstLine="720"/>
        <w:jc w:val="center"/>
        <w:rPr>
          <w:rFonts w:ascii="Times New Roman" w:eastAsia="Times New Roman" w:hAnsi="Times New Roman"/>
          <w:b/>
          <w:sz w:val="28"/>
          <w:szCs w:val="28"/>
          <w:lang w:eastAsia="vi-VN"/>
        </w:rPr>
      </w:pPr>
      <w:bookmarkStart w:id="0" w:name="_GoBack"/>
      <w:r w:rsidRPr="006964A2">
        <w:rPr>
          <w:rFonts w:ascii="Times New Roman" w:eastAsia="MS Mincho" w:hAnsi="Times New Roman"/>
          <w:b/>
          <w:sz w:val="28"/>
          <w:szCs w:val="28"/>
        </w:rPr>
        <w:t>DỰ</w:t>
      </w:r>
      <w:r w:rsidRPr="006964A2">
        <w:rPr>
          <w:rFonts w:ascii="Times New Roman" w:eastAsia="MS Mincho" w:hAnsi="Times New Roman"/>
          <w:b/>
          <w:sz w:val="28"/>
          <w:szCs w:val="28"/>
        </w:rPr>
        <w:t xml:space="preserve"> ÁN: </w:t>
      </w:r>
      <w:r w:rsidRPr="006964A2">
        <w:rPr>
          <w:rFonts w:ascii="Times New Roman" w:eastAsia="Times New Roman" w:hAnsi="Times New Roman"/>
          <w:b/>
          <w:sz w:val="28"/>
          <w:szCs w:val="28"/>
          <w:lang w:val="vi-VN" w:eastAsia="vi-VN"/>
        </w:rPr>
        <w:t>Khu giải trí, dịch vụ Tân Long</w:t>
      </w:r>
    </w:p>
    <w:bookmarkEnd w:id="0"/>
    <w:p w:rsidR="006964A2" w:rsidRPr="006964A2" w:rsidRDefault="006964A2" w:rsidP="006964A2">
      <w:pPr>
        <w:spacing w:before="120" w:after="0" w:line="240" w:lineRule="auto"/>
        <w:ind w:firstLine="720"/>
        <w:jc w:val="both"/>
        <w:rPr>
          <w:rFonts w:ascii="Times New Roman" w:eastAsia="MS Mincho" w:hAnsi="Times New Roman"/>
          <w:b/>
          <w:sz w:val="28"/>
          <w:szCs w:val="28"/>
        </w:rPr>
      </w:pPr>
    </w:p>
    <w:tbl>
      <w:tblPr>
        <w:tblW w:w="935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91"/>
        <w:gridCol w:w="6929"/>
      </w:tblGrid>
      <w:tr w:rsidR="006964A2" w:rsidRPr="008C5BF4" w:rsidTr="00AF0F42">
        <w:tc>
          <w:tcPr>
            <w:tcW w:w="2427" w:type="dxa"/>
            <w:gridSpan w:val="2"/>
          </w:tcPr>
          <w:p w:rsidR="006964A2" w:rsidRPr="008C5BF4" w:rsidRDefault="006964A2" w:rsidP="00AF0F42">
            <w:pPr>
              <w:spacing w:before="12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1.Tên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w:t>
            </w:r>
          </w:p>
        </w:tc>
        <w:tc>
          <w:tcPr>
            <w:tcW w:w="6929" w:type="dxa"/>
          </w:tcPr>
          <w:p w:rsidR="006964A2" w:rsidRPr="008C5BF4" w:rsidRDefault="006964A2" w:rsidP="00AF0F42">
            <w:pPr>
              <w:spacing w:before="120" w:after="60" w:line="240" w:lineRule="auto"/>
              <w:jc w:val="both"/>
              <w:rPr>
                <w:rFonts w:ascii="Times New Roman" w:eastAsia="Times New Roman" w:hAnsi="Times New Roman"/>
                <w:b/>
                <w:sz w:val="24"/>
                <w:szCs w:val="24"/>
                <w:lang w:val="vi-VN" w:eastAsia="vi-VN"/>
              </w:rPr>
            </w:pPr>
            <w:bookmarkStart w:id="1" w:name="KhugiaitriDVTanLong"/>
            <w:r w:rsidRPr="008C5BF4">
              <w:rPr>
                <w:rFonts w:ascii="Times New Roman" w:eastAsia="Times New Roman" w:hAnsi="Times New Roman"/>
                <w:b/>
                <w:sz w:val="24"/>
                <w:szCs w:val="24"/>
                <w:lang w:val="vi-VN" w:eastAsia="vi-VN"/>
              </w:rPr>
              <w:t>Khu giải trí, dịch vụ Tân Long</w:t>
            </w:r>
            <w:bookmarkEnd w:id="1"/>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2.Mục tiêu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w:t>
            </w: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Xây dựng khu giải trí, dịch vụ.</w:t>
            </w:r>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pacing w:val="-8"/>
                <w:sz w:val="24"/>
                <w:szCs w:val="24"/>
                <w:lang w:val="vi-VN" w:eastAsia="vi-VN"/>
              </w:rPr>
              <w:t xml:space="preserve">3. Hình thức lựa chọn nhà </w:t>
            </w:r>
            <w:r w:rsidRPr="008C5BF4">
              <w:rPr>
                <w:rFonts w:ascii="Times New Roman" w:eastAsia="Times New Roman" w:hAnsi="Times New Roman"/>
                <w:b/>
                <w:spacing w:val="-8"/>
                <w:sz w:val="24"/>
                <w:szCs w:val="24"/>
                <w:lang w:val="nl-NL" w:eastAsia="vi-VN"/>
              </w:rPr>
              <w:t>đầu tư:</w:t>
            </w:r>
          </w:p>
        </w:tc>
        <w:tc>
          <w:tcPr>
            <w:tcW w:w="6929" w:type="dxa"/>
          </w:tcPr>
          <w:p w:rsidR="006964A2" w:rsidRPr="008C5BF4" w:rsidRDefault="006964A2" w:rsidP="00AF0F42">
            <w:pPr>
              <w:spacing w:before="60" w:after="60" w:line="240" w:lineRule="auto"/>
              <w:jc w:val="both"/>
              <w:rPr>
                <w:rFonts w:ascii="Times New Roman" w:eastAsia="Times New Roman" w:hAnsi="Times New Roman"/>
                <w:bCs/>
                <w:sz w:val="24"/>
                <w:szCs w:val="24"/>
                <w:lang w:val="vi-VN" w:eastAsia="vi-VN"/>
              </w:rPr>
            </w:pPr>
            <w:r w:rsidRPr="008C5BF4">
              <w:rPr>
                <w:rFonts w:ascii="Times New Roman" w:eastAsia="Times New Roman" w:hAnsi="Times New Roman"/>
                <w:bCs/>
                <w:sz w:val="24"/>
                <w:szCs w:val="24"/>
                <w:lang w:val="vi-VN" w:eastAsia="vi-VN"/>
              </w:rPr>
              <w:t xml:space="preserve">Đấu thầu lựa chọn nhà đầu tư </w:t>
            </w:r>
          </w:p>
        </w:tc>
      </w:tr>
      <w:tr w:rsidR="006964A2" w:rsidRPr="008C5BF4" w:rsidTr="00AF0F42">
        <w:tc>
          <w:tcPr>
            <w:tcW w:w="2427" w:type="dxa"/>
            <w:gridSpan w:val="2"/>
            <w:vMerge w:val="restart"/>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4.Quy mô </w:t>
            </w:r>
            <w:r w:rsidRPr="008C5BF4">
              <w:rPr>
                <w:rFonts w:ascii="Times New Roman" w:eastAsia="Times New Roman" w:hAnsi="Times New Roman"/>
                <w:b/>
                <w:sz w:val="24"/>
                <w:szCs w:val="24"/>
                <w:lang w:val="nl-NL" w:eastAsia="vi-VN"/>
              </w:rPr>
              <w:t>dự án</w:t>
            </w:r>
            <w:r w:rsidRPr="008C5BF4">
              <w:rPr>
                <w:rFonts w:ascii="Times New Roman" w:eastAsia="Times New Roman" w:hAnsi="Times New Roman"/>
                <w:b/>
                <w:sz w:val="24"/>
                <w:szCs w:val="24"/>
                <w:lang w:val="vi-VN" w:eastAsia="vi-VN"/>
              </w:rPr>
              <w:t xml:space="preserve">: </w:t>
            </w: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Tổng vốn đầu tư dự kiến:  </w:t>
            </w:r>
            <w:r w:rsidRPr="008C5BF4">
              <w:rPr>
                <w:rFonts w:ascii="Times New Roman" w:eastAsia="Times New Roman" w:hAnsi="Times New Roman"/>
                <w:color w:val="FF0000"/>
                <w:sz w:val="24"/>
                <w:szCs w:val="24"/>
                <w:lang w:val="vi-VN" w:eastAsia="vi-VN"/>
              </w:rPr>
              <w:t xml:space="preserve">20 </w:t>
            </w:r>
            <w:r w:rsidRPr="008C5BF4">
              <w:rPr>
                <w:rFonts w:ascii="Times New Roman" w:eastAsia="Times New Roman" w:hAnsi="Times New Roman"/>
                <w:sz w:val="24"/>
                <w:szCs w:val="24"/>
                <w:lang w:val="vi-VN" w:eastAsia="vi-VN"/>
              </w:rPr>
              <w:t xml:space="preserve"> tỷ đồng.</w:t>
            </w:r>
          </w:p>
        </w:tc>
      </w:tr>
      <w:tr w:rsidR="006964A2" w:rsidRPr="008C5BF4" w:rsidTr="00AF0F42">
        <w:tc>
          <w:tcPr>
            <w:tcW w:w="2427" w:type="dxa"/>
            <w:gridSpan w:val="2"/>
            <w:vMerge/>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Diện tích đất </w:t>
            </w:r>
            <w:r w:rsidRPr="008C5BF4">
              <w:rPr>
                <w:rFonts w:ascii="Times New Roman" w:eastAsia="Times New Roman" w:hAnsi="Times New Roman"/>
                <w:bCs/>
                <w:sz w:val="24"/>
                <w:szCs w:val="24"/>
                <w:lang w:val="vi-VN" w:eastAsia="vi-VN"/>
              </w:rPr>
              <w:t>sử dụng: 4,22 ha.</w:t>
            </w:r>
          </w:p>
        </w:tc>
      </w:tr>
      <w:tr w:rsidR="006964A2" w:rsidRPr="008C5BF4" w:rsidTr="00AF0F42">
        <w:tc>
          <w:tcPr>
            <w:tcW w:w="2427" w:type="dxa"/>
            <w:gridSpan w:val="2"/>
            <w:vMerge/>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6929" w:type="dxa"/>
          </w:tcPr>
          <w:p w:rsidR="006964A2" w:rsidRPr="008C5BF4" w:rsidRDefault="006964A2" w:rsidP="00AF0F42">
            <w:pPr>
              <w:spacing w:before="60" w:after="0" w:line="240" w:lineRule="auto"/>
              <w:jc w:val="both"/>
              <w:rPr>
                <w:rFonts w:ascii="Times New Roman" w:eastAsia="Times New Roman" w:hAnsi="Times New Roman"/>
                <w:bCs/>
                <w:sz w:val="24"/>
                <w:szCs w:val="24"/>
                <w:lang w:val="vi-VN" w:eastAsia="vi-VN"/>
              </w:rPr>
            </w:pPr>
            <w:r w:rsidRPr="008C5BF4">
              <w:rPr>
                <w:rFonts w:ascii="Times New Roman" w:eastAsia="Times New Roman" w:hAnsi="Times New Roman"/>
                <w:sz w:val="24"/>
                <w:szCs w:val="24"/>
                <w:lang w:val="vi-VN" w:eastAsia="vi-VN"/>
              </w:rPr>
              <w:t>Công suất / sản lượng / mô tả:</w:t>
            </w:r>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5.Căn cứ xây dựng dự án: </w:t>
            </w: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Quyết định số 1336/QĐ-UBND của Ủy ban nhân dân tỉnh Tiền Giang về việc phê duyệt điều chỉnh Quy hoạch tổng thể phát triển kinh tế-xã hội thành phố Mỹ Tho đến năm 2020, định hướng 2030</w:t>
            </w:r>
          </w:p>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Nghị quyết 13 của Tỉnh ủy</w:t>
            </w:r>
          </w:p>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Quy hoạch phân khu phường Tân Long</w:t>
            </w:r>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6.Vị trí khu đất dự án</w:t>
            </w: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b/>
                <w:sz w:val="24"/>
                <w:szCs w:val="24"/>
                <w:lang w:val="vi-VN" w:eastAsia="vi-VN"/>
              </w:rPr>
              <w:t xml:space="preserve">- </w:t>
            </w:r>
            <w:r w:rsidRPr="008C5BF4">
              <w:rPr>
                <w:rFonts w:ascii="Times New Roman" w:eastAsia="Times New Roman" w:hAnsi="Times New Roman"/>
                <w:sz w:val="24"/>
                <w:szCs w:val="24"/>
                <w:lang w:val="vi-VN" w:eastAsia="vi-VN"/>
              </w:rPr>
              <w:t>Địa điểm: phường Tân Long, thành phố Mỹ Tho</w:t>
            </w:r>
          </w:p>
          <w:p w:rsidR="006964A2" w:rsidRPr="008C5BF4" w:rsidRDefault="006964A2" w:rsidP="00AF0F42">
            <w:pPr>
              <w:spacing w:before="100" w:after="100" w:line="240" w:lineRule="auto"/>
              <w:jc w:val="both"/>
              <w:rPr>
                <w:rFonts w:ascii="Times New Roman" w:eastAsia="Times New Roman" w:hAnsi="Times New Roman"/>
                <w:sz w:val="24"/>
                <w:szCs w:val="24"/>
                <w:lang w:val="pl-PL" w:eastAsia="vi-VN"/>
              </w:rPr>
            </w:pPr>
            <w:r w:rsidRPr="008C5BF4">
              <w:rPr>
                <w:rFonts w:ascii="Times New Roman" w:eastAsia="Times New Roman" w:hAnsi="Times New Roman"/>
                <w:sz w:val="24"/>
                <w:szCs w:val="24"/>
                <w:lang w:val="pl-PL" w:eastAsia="vi-VN"/>
              </w:rPr>
              <w:t>- Ranh giới dự án:</w:t>
            </w:r>
          </w:p>
          <w:p w:rsidR="006964A2" w:rsidRPr="008C5BF4" w:rsidRDefault="006964A2" w:rsidP="00AF0F42">
            <w:pPr>
              <w:spacing w:before="100" w:after="100" w:line="240" w:lineRule="auto"/>
              <w:jc w:val="both"/>
              <w:rPr>
                <w:rFonts w:ascii="Times New Roman" w:eastAsia="Times New Roman" w:hAnsi="Times New Roman"/>
                <w:spacing w:val="-6"/>
                <w:sz w:val="24"/>
                <w:szCs w:val="24"/>
                <w:lang w:val="pl-PL" w:eastAsia="vi-VN"/>
              </w:rPr>
            </w:pPr>
            <w:r w:rsidRPr="008C5BF4">
              <w:rPr>
                <w:rFonts w:ascii="Times New Roman" w:eastAsia="Times New Roman" w:hAnsi="Times New Roman"/>
                <w:color w:val="FF0000"/>
                <w:spacing w:val="-6"/>
                <w:sz w:val="24"/>
                <w:szCs w:val="24"/>
                <w:lang w:val="pl-PL" w:eastAsia="vi-VN"/>
              </w:rPr>
              <w:t xml:space="preserve"> </w:t>
            </w:r>
            <w:r w:rsidRPr="008C5BF4">
              <w:rPr>
                <w:rFonts w:ascii="Times New Roman" w:eastAsia="Times New Roman" w:hAnsi="Times New Roman"/>
                <w:spacing w:val="-6"/>
                <w:sz w:val="24"/>
                <w:szCs w:val="24"/>
                <w:lang w:val="pl-PL" w:eastAsia="vi-VN"/>
              </w:rPr>
              <w:t>+ Phía Đông: giáp đất dân</w:t>
            </w:r>
          </w:p>
          <w:p w:rsidR="006964A2" w:rsidRPr="008C5BF4" w:rsidRDefault="006964A2" w:rsidP="00AF0F42">
            <w:pPr>
              <w:spacing w:before="100" w:after="100" w:line="240" w:lineRule="auto"/>
              <w:jc w:val="both"/>
              <w:rPr>
                <w:rFonts w:ascii="Times New Roman" w:eastAsia="Times New Roman" w:hAnsi="Times New Roman"/>
                <w:b/>
                <w:i/>
                <w:color w:val="FF0000"/>
                <w:spacing w:val="-6"/>
                <w:sz w:val="24"/>
                <w:szCs w:val="24"/>
                <w:lang w:val="pl-PL" w:eastAsia="vi-VN"/>
              </w:rPr>
            </w:pPr>
            <w:r w:rsidRPr="008C5BF4">
              <w:rPr>
                <w:rFonts w:ascii="Times New Roman" w:eastAsia="Times New Roman" w:hAnsi="Times New Roman"/>
                <w:spacing w:val="-6"/>
                <w:sz w:val="24"/>
                <w:szCs w:val="24"/>
                <w:lang w:val="pl-PL" w:eastAsia="vi-VN"/>
              </w:rPr>
              <w:t>+ Phía Tây, Nam, Bắc: giáp sông Tiền</w:t>
            </w:r>
          </w:p>
        </w:tc>
      </w:tr>
      <w:tr w:rsidR="006964A2" w:rsidRPr="008C5BF4" w:rsidTr="00AF0F42">
        <w:tc>
          <w:tcPr>
            <w:tcW w:w="2427" w:type="dxa"/>
            <w:gridSpan w:val="2"/>
            <w:tcBorders>
              <w:bottom w:val="single" w:sz="4" w:space="0" w:color="auto"/>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7. Một số thông tin dự án</w:t>
            </w:r>
          </w:p>
        </w:tc>
        <w:tc>
          <w:tcPr>
            <w:tcW w:w="6929" w:type="dxa"/>
          </w:tcPr>
          <w:p w:rsidR="006964A2" w:rsidRPr="008C5BF4" w:rsidRDefault="006964A2" w:rsidP="00AF0F42">
            <w:pPr>
              <w:spacing w:before="60" w:after="60" w:line="240" w:lineRule="auto"/>
              <w:jc w:val="both"/>
              <w:rPr>
                <w:rFonts w:ascii="Times New Roman" w:eastAsia="Times New Roman" w:hAnsi="Times New Roman"/>
                <w:b/>
                <w:sz w:val="24"/>
                <w:szCs w:val="24"/>
                <w:lang w:val="vi-VN" w:eastAsia="vi-VN"/>
              </w:rPr>
            </w:pPr>
          </w:p>
        </w:tc>
      </w:tr>
      <w:tr w:rsidR="006964A2" w:rsidRPr="008C5BF4" w:rsidTr="00AF0F42">
        <w:tc>
          <w:tcPr>
            <w:tcW w:w="236" w:type="dxa"/>
            <w:tcBorders>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i/>
                <w:sz w:val="24"/>
                <w:szCs w:val="24"/>
                <w:lang w:val="vi-VN" w:eastAsia="vi-VN"/>
              </w:rPr>
              <w:t>Đất đai</w:t>
            </w:r>
            <w:r w:rsidRPr="008C5BF4">
              <w:rPr>
                <w:rFonts w:ascii="Times New Roman" w:eastAsia="Times New Roman" w:hAnsi="Times New Roman"/>
                <w:sz w:val="24"/>
                <w:szCs w:val="24"/>
                <w:lang w:val="vi-VN" w:eastAsia="vi-VN"/>
              </w:rPr>
              <w:t xml:space="preserve"> </w:t>
            </w:r>
          </w:p>
        </w:tc>
        <w:tc>
          <w:tcPr>
            <w:tcW w:w="6929" w:type="dxa"/>
          </w:tcPr>
          <w:p w:rsidR="006964A2" w:rsidRPr="008C5BF4" w:rsidRDefault="006964A2"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Loại đất:  đất công và đất dân</w:t>
            </w:r>
          </w:p>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Hiện trạng: đất công 1.700 m</w:t>
            </w:r>
            <w:r w:rsidRPr="008C5BF4">
              <w:rPr>
                <w:rFonts w:ascii="Times New Roman" w:eastAsia="Times New Roman" w:hAnsi="Times New Roman"/>
                <w:sz w:val="24"/>
                <w:szCs w:val="24"/>
                <w:vertAlign w:val="superscript"/>
                <w:lang w:val="vi-VN" w:eastAsia="vi-VN"/>
              </w:rPr>
              <w:t>2</w:t>
            </w:r>
            <w:r w:rsidRPr="008C5BF4">
              <w:rPr>
                <w:rFonts w:ascii="Times New Roman" w:eastAsia="Times New Roman" w:hAnsi="Times New Roman"/>
                <w:sz w:val="24"/>
                <w:szCs w:val="24"/>
                <w:lang w:val="vi-VN" w:eastAsia="vi-VN"/>
              </w:rPr>
              <w:t>, còn lại là đất dân</w:t>
            </w:r>
          </w:p>
        </w:tc>
      </w:tr>
      <w:tr w:rsidR="006964A2" w:rsidRPr="008C5BF4" w:rsidTr="00AF0F42">
        <w:tc>
          <w:tcPr>
            <w:tcW w:w="236" w:type="dxa"/>
            <w:tcBorders>
              <w:bottom w:val="single" w:sz="4" w:space="0" w:color="auto"/>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bottom w:val="single" w:sz="4" w:space="0" w:color="auto"/>
            </w:tcBorders>
          </w:tcPr>
          <w:p w:rsidR="006964A2" w:rsidRPr="008C5BF4" w:rsidRDefault="006964A2" w:rsidP="00AF0F42">
            <w:pPr>
              <w:spacing w:before="60" w:after="60" w:line="240" w:lineRule="auto"/>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Hạ tầng giao thông:</w:t>
            </w:r>
          </w:p>
        </w:tc>
        <w:tc>
          <w:tcPr>
            <w:tcW w:w="6929" w:type="dxa"/>
          </w:tcPr>
          <w:p w:rsidR="006964A2" w:rsidRPr="008C5BF4" w:rsidRDefault="006964A2" w:rsidP="00AF0F42">
            <w:pPr>
              <w:spacing w:before="60" w:after="60" w:line="240" w:lineRule="auto"/>
              <w:ind w:left="24"/>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Đặc điểm: 3 mặt giáp sông Tiền thuận lợi giao thông đường thủy</w:t>
            </w:r>
          </w:p>
        </w:tc>
      </w:tr>
      <w:tr w:rsidR="006964A2" w:rsidRPr="008C5BF4" w:rsidTr="00AF0F42">
        <w:tc>
          <w:tcPr>
            <w:tcW w:w="236" w:type="dxa"/>
            <w:tcBorders>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6964A2" w:rsidRPr="008C5BF4" w:rsidRDefault="006964A2" w:rsidP="00AF0F42">
            <w:pPr>
              <w:spacing w:before="60" w:after="60" w:line="240" w:lineRule="auto"/>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Thông tin liên lạc:</w:t>
            </w:r>
            <w:r w:rsidRPr="008C5BF4">
              <w:rPr>
                <w:rFonts w:ascii="Times New Roman" w:eastAsia="Times New Roman" w:hAnsi="Times New Roman"/>
                <w:sz w:val="24"/>
                <w:szCs w:val="24"/>
                <w:lang w:val="vi-VN" w:eastAsia="vi-VN"/>
              </w:rPr>
              <w:t xml:space="preserve"> </w:t>
            </w:r>
          </w:p>
        </w:tc>
        <w:tc>
          <w:tcPr>
            <w:tcW w:w="6929" w:type="dxa"/>
            <w:tcBorders>
              <w:bottom w:val="single" w:sz="4" w:space="0" w:color="auto"/>
            </w:tcBorders>
          </w:tcPr>
          <w:p w:rsidR="006964A2" w:rsidRPr="008C5BF4" w:rsidRDefault="006964A2" w:rsidP="00AF0F42">
            <w:pPr>
              <w:spacing w:before="60" w:after="6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sz w:val="24"/>
                <w:szCs w:val="24"/>
                <w:lang w:val="vi-VN" w:eastAsia="vi-VN"/>
              </w:rPr>
              <w:t>Các dịch vụ internet, điện thoại đảm bảo thông suốt.</w:t>
            </w:r>
          </w:p>
        </w:tc>
      </w:tr>
      <w:tr w:rsidR="006964A2" w:rsidRPr="008C5BF4" w:rsidTr="00AF0F42">
        <w:tc>
          <w:tcPr>
            <w:tcW w:w="236" w:type="dxa"/>
            <w:tcBorders>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6964A2" w:rsidRPr="008C5BF4" w:rsidRDefault="006964A2" w:rsidP="00AF0F42">
            <w:pPr>
              <w:spacing w:before="60" w:after="60" w:line="240" w:lineRule="auto"/>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Nguồn điện</w:t>
            </w:r>
            <w:r w:rsidRPr="008C5BF4">
              <w:rPr>
                <w:rFonts w:ascii="Times New Roman" w:eastAsia="Times New Roman" w:hAnsi="Times New Roman"/>
                <w:sz w:val="24"/>
                <w:szCs w:val="24"/>
                <w:lang w:val="vi-VN" w:eastAsia="vi-VN"/>
              </w:rPr>
              <w:t xml:space="preserve">: </w:t>
            </w:r>
          </w:p>
        </w:tc>
        <w:tc>
          <w:tcPr>
            <w:tcW w:w="6929" w:type="dxa"/>
          </w:tcPr>
          <w:p w:rsidR="006964A2" w:rsidRPr="008C5BF4" w:rsidRDefault="006964A2"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Nguồn điện cung cấp cho dự án từ lưới điện quốc gia, đảm bảo cung cấp đầy đủ và ổn định.</w:t>
            </w:r>
          </w:p>
        </w:tc>
      </w:tr>
      <w:tr w:rsidR="006964A2" w:rsidRPr="008C5BF4" w:rsidTr="00AF0F42">
        <w:tc>
          <w:tcPr>
            <w:tcW w:w="236" w:type="dxa"/>
            <w:tcBorders>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6964A2" w:rsidRPr="008C5BF4" w:rsidRDefault="006964A2" w:rsidP="00AF0F42">
            <w:pPr>
              <w:spacing w:before="60" w:after="60" w:line="240" w:lineRule="auto"/>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 xml:space="preserve">Nguồn nước cấp: </w:t>
            </w:r>
          </w:p>
        </w:tc>
        <w:tc>
          <w:tcPr>
            <w:tcW w:w="6929" w:type="dxa"/>
          </w:tcPr>
          <w:p w:rsidR="006964A2" w:rsidRPr="008C5BF4" w:rsidRDefault="006964A2" w:rsidP="00AF0F42">
            <w:pPr>
              <w:spacing w:before="60" w:after="6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Đảm bảo đấu nối và cung cấp đầy đủ cho dự án</w:t>
            </w:r>
          </w:p>
        </w:tc>
      </w:tr>
      <w:tr w:rsidR="006964A2" w:rsidRPr="008C5BF4" w:rsidTr="00AF0F42">
        <w:tc>
          <w:tcPr>
            <w:tcW w:w="236" w:type="dxa"/>
            <w:tcBorders>
              <w:right w:val="nil"/>
            </w:tcBorders>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p>
        </w:tc>
        <w:tc>
          <w:tcPr>
            <w:tcW w:w="2191" w:type="dxa"/>
            <w:tcBorders>
              <w:left w:val="nil"/>
            </w:tcBorders>
          </w:tcPr>
          <w:p w:rsidR="006964A2" w:rsidRPr="008C5BF4" w:rsidRDefault="006964A2" w:rsidP="00AF0F42">
            <w:pPr>
              <w:spacing w:before="60" w:after="60" w:line="240" w:lineRule="auto"/>
              <w:rPr>
                <w:rFonts w:ascii="Times New Roman" w:eastAsia="Times New Roman" w:hAnsi="Times New Roman"/>
                <w:b/>
                <w:i/>
                <w:sz w:val="24"/>
                <w:szCs w:val="24"/>
                <w:lang w:val="vi-VN" w:eastAsia="vi-VN"/>
              </w:rPr>
            </w:pPr>
            <w:r w:rsidRPr="008C5BF4">
              <w:rPr>
                <w:rFonts w:ascii="Times New Roman" w:eastAsia="Times New Roman" w:hAnsi="Times New Roman"/>
                <w:b/>
                <w:i/>
                <w:sz w:val="24"/>
                <w:szCs w:val="24"/>
                <w:lang w:val="vi-VN" w:eastAsia="vi-VN"/>
              </w:rPr>
              <w:t xml:space="preserve">Hệ thống xử lý chất thải/  nước thải: </w:t>
            </w:r>
            <w:r w:rsidRPr="008C5BF4">
              <w:rPr>
                <w:rFonts w:ascii="Times New Roman" w:eastAsia="Times New Roman" w:hAnsi="Times New Roman"/>
                <w:sz w:val="24"/>
                <w:szCs w:val="24"/>
                <w:lang w:val="vi-VN" w:eastAsia="vi-VN"/>
              </w:rPr>
              <w:t xml:space="preserve"> </w:t>
            </w:r>
          </w:p>
        </w:tc>
        <w:tc>
          <w:tcPr>
            <w:tcW w:w="6929" w:type="dxa"/>
          </w:tcPr>
          <w:p w:rsidR="006964A2" w:rsidRPr="008C5BF4" w:rsidRDefault="006964A2" w:rsidP="00AF0F42">
            <w:pPr>
              <w:spacing w:before="60"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Biện pháp xử lý chất thải: thu gom xử lý tập trung.</w:t>
            </w:r>
          </w:p>
          <w:p w:rsidR="006964A2" w:rsidRPr="008C5BF4" w:rsidRDefault="006964A2" w:rsidP="00AF0F42">
            <w:pPr>
              <w:spacing w:before="60"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Biện pháp xử lý nước thải: xây  dựng hệ thống cống rãnh thoát nước.</w:t>
            </w:r>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8.Điều kiện hoặc ưu đãi đầu tư:</w:t>
            </w:r>
          </w:p>
        </w:tc>
        <w:tc>
          <w:tcPr>
            <w:tcW w:w="6929" w:type="dxa"/>
          </w:tcPr>
          <w:p w:rsidR="006964A2" w:rsidRPr="008C5BF4" w:rsidRDefault="006964A2" w:rsidP="00AF0F42">
            <w:pPr>
              <w:spacing w:before="60" w:after="60" w:line="240" w:lineRule="auto"/>
              <w:jc w:val="center"/>
              <w:rPr>
                <w:rFonts w:ascii="Times New Roman" w:eastAsia="Times New Roman" w:hAnsi="Times New Roman"/>
                <w:sz w:val="24"/>
                <w:szCs w:val="24"/>
                <w:lang w:val="vi-VN" w:eastAsia="vi-VN"/>
              </w:rPr>
            </w:pPr>
            <w:r w:rsidRPr="008C5BF4">
              <w:rPr>
                <w:rFonts w:ascii="Times New Roman" w:eastAsia="Times New Roman" w:hAnsi="Times New Roman"/>
                <w:b/>
                <w:sz w:val="24"/>
                <w:szCs w:val="24"/>
                <w:lang w:val="vi-VN" w:eastAsia="vi-VN"/>
              </w:rPr>
              <w:t>Ưu đãi đầu tư</w:t>
            </w:r>
            <w:r w:rsidRPr="008C5BF4">
              <w:rPr>
                <w:rFonts w:ascii="Times New Roman" w:eastAsia="Times New Roman" w:hAnsi="Times New Roman"/>
                <w:spacing w:val="-6"/>
                <w:sz w:val="24"/>
                <w:szCs w:val="24"/>
                <w:lang w:val="vi-VN" w:eastAsia="vi-VN"/>
              </w:rPr>
              <w:t xml:space="preserve">: miễn tiền thuê đất, thuê mặt nước trong thời gian xây dựng cơ bản theo dự án được cấp có thẩm quyền phê duyệt nhưng tối đa không quá 03 năm kể từ ngày có quyết định cho thuê đất, thuê mặt nước theo quy định tại khoản 2 Điều 19 Nghị định số 46/2014/NĐ-CP. </w:t>
            </w:r>
          </w:p>
        </w:tc>
      </w:tr>
      <w:tr w:rsidR="006964A2" w:rsidRPr="008C5BF4" w:rsidTr="00AF0F42">
        <w:tc>
          <w:tcPr>
            <w:tcW w:w="2427" w:type="dxa"/>
            <w:gridSpan w:val="2"/>
          </w:tcPr>
          <w:p w:rsidR="006964A2" w:rsidRPr="008C5BF4" w:rsidRDefault="006964A2" w:rsidP="00AF0F42">
            <w:pPr>
              <w:spacing w:before="60" w:after="6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9.Hiệu quả xã hội </w:t>
            </w:r>
            <w:r w:rsidRPr="008C5BF4">
              <w:rPr>
                <w:rFonts w:ascii="Times New Roman" w:eastAsia="Times New Roman" w:hAnsi="Times New Roman"/>
                <w:b/>
                <w:sz w:val="24"/>
                <w:szCs w:val="24"/>
                <w:lang w:val="vi-VN" w:eastAsia="vi-VN"/>
              </w:rPr>
              <w:lastRenderedPageBreak/>
              <w:t>của dự án:</w:t>
            </w:r>
          </w:p>
        </w:tc>
        <w:tc>
          <w:tcPr>
            <w:tcW w:w="6929" w:type="dxa"/>
          </w:tcPr>
          <w:p w:rsidR="006964A2" w:rsidRPr="008C5BF4" w:rsidRDefault="006964A2" w:rsidP="00AF0F42">
            <w:pPr>
              <w:spacing w:before="60" w:after="60" w:line="240" w:lineRule="auto"/>
              <w:ind w:firstLine="24"/>
              <w:jc w:val="both"/>
              <w:rPr>
                <w:rFonts w:ascii="Times New Roman" w:eastAsia="Times New Roman" w:hAnsi="Times New Roman"/>
                <w:b/>
                <w:sz w:val="24"/>
                <w:szCs w:val="24"/>
                <w:lang w:val="vi-VN" w:eastAsia="vi-VN"/>
              </w:rPr>
            </w:pPr>
            <w:r w:rsidRPr="008C5BF4">
              <w:rPr>
                <w:rFonts w:ascii="Times New Roman" w:eastAsia="Times New Roman" w:hAnsi="Times New Roman"/>
                <w:sz w:val="24"/>
                <w:szCs w:val="24"/>
                <w:lang w:val="vi-VN" w:eastAsia="vi-VN"/>
              </w:rPr>
              <w:lastRenderedPageBreak/>
              <w:t xml:space="preserve">Đáp ứng nhu cầu giải trí, dịch vụ của Nhân dân; góp phần giải quyết </w:t>
            </w:r>
            <w:r w:rsidRPr="008C5BF4">
              <w:rPr>
                <w:rFonts w:ascii="Times New Roman" w:eastAsia="Times New Roman" w:hAnsi="Times New Roman"/>
                <w:sz w:val="24"/>
                <w:szCs w:val="24"/>
                <w:lang w:val="vi-VN" w:eastAsia="vi-VN"/>
              </w:rPr>
              <w:lastRenderedPageBreak/>
              <w:t>việc làm, chỉnh trang đô thị.</w:t>
            </w:r>
          </w:p>
        </w:tc>
      </w:tr>
    </w:tbl>
    <w:p w:rsidR="003541C1" w:rsidRDefault="00406031"/>
    <w:sectPr w:rsidR="0035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A2"/>
    <w:rsid w:val="00406031"/>
    <w:rsid w:val="006964A2"/>
    <w:rsid w:val="006E2ADB"/>
    <w:rsid w:val="0070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2019-07-31T06:54:00Z</dcterms:created>
  <dcterms:modified xsi:type="dcterms:W3CDTF">2019-07-31T06:56:00Z</dcterms:modified>
</cp:coreProperties>
</file>