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43" w:rsidRDefault="003D4B43" w:rsidP="003D4B43">
      <w:pPr>
        <w:spacing w:before="120" w:after="0" w:line="240" w:lineRule="auto"/>
        <w:ind w:firstLine="720"/>
        <w:jc w:val="both"/>
        <w:rPr>
          <w:rFonts w:ascii="Times New Roman" w:eastAsia="MS Mincho" w:hAnsi="Times New Roman"/>
          <w:b/>
          <w:sz w:val="28"/>
          <w:szCs w:val="28"/>
        </w:rPr>
      </w:pPr>
      <w:r w:rsidRPr="003D4B43">
        <w:rPr>
          <w:rFonts w:ascii="Times New Roman" w:eastAsia="MS Mincho" w:hAnsi="Times New Roman"/>
          <w:b/>
          <w:sz w:val="28"/>
          <w:szCs w:val="28"/>
        </w:rPr>
        <w:t>Dự án Khu Thể thao dưới nước - KDL sinh thái cù lao Thớ</w:t>
      </w:r>
      <w:r>
        <w:rPr>
          <w:rFonts w:ascii="Times New Roman" w:eastAsia="MS Mincho" w:hAnsi="Times New Roman"/>
          <w:b/>
          <w:sz w:val="28"/>
          <w:szCs w:val="28"/>
        </w:rPr>
        <w:t>i Sơn</w:t>
      </w:r>
    </w:p>
    <w:p w:rsidR="003D4B43" w:rsidRPr="003D4B43" w:rsidRDefault="003D4B43" w:rsidP="003D4B43">
      <w:pPr>
        <w:spacing w:before="120" w:after="0" w:line="240" w:lineRule="auto"/>
        <w:ind w:firstLine="720"/>
        <w:jc w:val="both"/>
        <w:rPr>
          <w:rFonts w:ascii="Times New Roman" w:eastAsia="MS Mincho"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758"/>
      </w:tblGrid>
      <w:tr w:rsidR="003D4B43" w:rsidRPr="008C5BF4" w:rsidTr="00AF0F42">
        <w:tc>
          <w:tcPr>
            <w:tcW w:w="2376" w:type="dxa"/>
          </w:tcPr>
          <w:p w:rsidR="003D4B43" w:rsidRPr="008C5BF4" w:rsidRDefault="003D4B43"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1. Tên </w:t>
            </w:r>
            <w:r w:rsidRPr="008C5BF4">
              <w:rPr>
                <w:rFonts w:ascii="Times New Roman" w:eastAsia="Times New Roman" w:hAnsi="Times New Roman"/>
                <w:b/>
                <w:sz w:val="24"/>
                <w:szCs w:val="24"/>
                <w:lang w:val="nl-NL" w:eastAsia="vi-VN"/>
              </w:rPr>
              <w:t>dự án</w:t>
            </w:r>
            <w:r w:rsidRPr="008C5BF4">
              <w:rPr>
                <w:rFonts w:ascii="Times New Roman" w:eastAsia="Times New Roman" w:hAnsi="Times New Roman"/>
                <w:b/>
                <w:sz w:val="24"/>
                <w:szCs w:val="24"/>
                <w:lang w:val="vi-VN" w:eastAsia="vi-VN"/>
              </w:rPr>
              <w:t>:</w:t>
            </w:r>
            <w:r w:rsidRPr="008C5BF4">
              <w:rPr>
                <w:rFonts w:ascii="Times New Roman" w:eastAsia="Times New Roman" w:hAnsi="Times New Roman"/>
                <w:b/>
                <w:sz w:val="24"/>
                <w:szCs w:val="24"/>
                <w:lang w:val="vi-VN" w:eastAsia="vi-VN"/>
              </w:rPr>
              <w:tab/>
            </w:r>
          </w:p>
        </w:tc>
        <w:tc>
          <w:tcPr>
            <w:tcW w:w="6758" w:type="dxa"/>
          </w:tcPr>
          <w:p w:rsidR="003D4B43" w:rsidRPr="008C5BF4" w:rsidRDefault="003D4B43"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Xây dựng khu Thể thao dưới nước-Khu du lịch sinh thái cù lao Thới Sơn</w:t>
            </w:r>
          </w:p>
        </w:tc>
      </w:tr>
      <w:tr w:rsidR="003D4B43" w:rsidRPr="008C5BF4" w:rsidTr="00AF0F42">
        <w:tc>
          <w:tcPr>
            <w:tcW w:w="2376" w:type="dxa"/>
          </w:tcPr>
          <w:p w:rsidR="003D4B43" w:rsidRPr="008C5BF4" w:rsidRDefault="003D4B43"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2. Mục tiêu dự án:</w:t>
            </w:r>
            <w:r w:rsidRPr="008C5BF4">
              <w:rPr>
                <w:rFonts w:ascii="Times New Roman" w:eastAsia="Times New Roman" w:hAnsi="Times New Roman"/>
                <w:b/>
                <w:sz w:val="24"/>
                <w:szCs w:val="24"/>
                <w:lang w:val="vi-VN" w:eastAsia="vi-VN"/>
              </w:rPr>
              <w:tab/>
            </w:r>
          </w:p>
        </w:tc>
        <w:tc>
          <w:tcPr>
            <w:tcW w:w="6758" w:type="dxa"/>
          </w:tcPr>
          <w:p w:rsidR="003D4B43" w:rsidRPr="008C5BF4" w:rsidRDefault="003D4B43"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Đầu tư xây dựng khu thể thao dưới nước</w:t>
            </w:r>
          </w:p>
          <w:p w:rsidR="003D4B43" w:rsidRPr="008C5BF4" w:rsidRDefault="003D4B43" w:rsidP="00AF0F42">
            <w:pPr>
              <w:spacing w:after="0" w:line="240" w:lineRule="auto"/>
              <w:jc w:val="both"/>
              <w:rPr>
                <w:rFonts w:ascii="Times New Roman" w:eastAsia="Times New Roman" w:hAnsi="Times New Roman"/>
                <w:sz w:val="24"/>
                <w:szCs w:val="24"/>
                <w:lang w:val="vi-VN" w:eastAsia="vi-VN"/>
              </w:rPr>
            </w:pPr>
          </w:p>
        </w:tc>
      </w:tr>
      <w:tr w:rsidR="003D4B43" w:rsidRPr="008C5BF4" w:rsidTr="00AF0F42">
        <w:tc>
          <w:tcPr>
            <w:tcW w:w="2376" w:type="dxa"/>
          </w:tcPr>
          <w:p w:rsidR="003D4B43" w:rsidRPr="008C5BF4" w:rsidRDefault="003D4B43"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3. Hình thức đầu tư: </w:t>
            </w:r>
          </w:p>
        </w:tc>
        <w:tc>
          <w:tcPr>
            <w:tcW w:w="6758" w:type="dxa"/>
          </w:tcPr>
          <w:p w:rsidR="003D4B43" w:rsidRPr="008C5BF4" w:rsidRDefault="003D4B43"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Cs/>
                <w:sz w:val="24"/>
                <w:szCs w:val="24"/>
                <w:lang w:val="vi-VN" w:eastAsia="vi-VN"/>
              </w:rPr>
              <w:t>Quyết định chủ trương đầu tư</w:t>
            </w:r>
          </w:p>
        </w:tc>
      </w:tr>
      <w:tr w:rsidR="003D4B43" w:rsidRPr="008C5BF4" w:rsidTr="00AF0F42">
        <w:tc>
          <w:tcPr>
            <w:tcW w:w="2376" w:type="dxa"/>
          </w:tcPr>
          <w:p w:rsidR="003D4B43" w:rsidRPr="008C5BF4" w:rsidRDefault="003D4B43"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4. Quy mô dự án: </w:t>
            </w:r>
            <w:r w:rsidRPr="008C5BF4">
              <w:rPr>
                <w:rFonts w:ascii="Times New Roman" w:eastAsia="Times New Roman" w:hAnsi="Times New Roman"/>
                <w:b/>
                <w:sz w:val="24"/>
                <w:szCs w:val="24"/>
                <w:lang w:val="vi-VN" w:eastAsia="vi-VN"/>
              </w:rPr>
              <w:tab/>
            </w:r>
          </w:p>
        </w:tc>
        <w:tc>
          <w:tcPr>
            <w:tcW w:w="6758" w:type="dxa"/>
          </w:tcPr>
          <w:p w:rsidR="003D4B43" w:rsidRPr="008C5BF4" w:rsidRDefault="003D4B43"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bCs/>
                <w:sz w:val="24"/>
                <w:szCs w:val="24"/>
                <w:lang w:val="vi-VN" w:eastAsia="vi-VN"/>
              </w:rPr>
              <w:t xml:space="preserve">Diện tích sử dụng đất: </w:t>
            </w:r>
            <w:r w:rsidRPr="008C5BF4">
              <w:rPr>
                <w:rFonts w:ascii="Times New Roman" w:eastAsia="Times New Roman" w:hAnsi="Times New Roman"/>
                <w:sz w:val="24"/>
                <w:szCs w:val="24"/>
                <w:lang w:val="vi-VN" w:eastAsia="vi-VN"/>
              </w:rPr>
              <w:t>74.150m2</w:t>
            </w:r>
          </w:p>
          <w:p w:rsidR="003D4B43" w:rsidRPr="008C5BF4" w:rsidRDefault="003D4B43" w:rsidP="00AF0F42">
            <w:pPr>
              <w:spacing w:before="60" w:after="60" w:line="240" w:lineRule="auto"/>
              <w:rPr>
                <w:rFonts w:ascii="Times New Roman" w:eastAsia="Times New Roman" w:hAnsi="Times New Roman"/>
                <w:bCs/>
                <w:sz w:val="24"/>
                <w:szCs w:val="24"/>
                <w:lang w:val="vi-VN" w:eastAsia="vi-VN"/>
              </w:rPr>
            </w:pPr>
            <w:r w:rsidRPr="008C5BF4">
              <w:rPr>
                <w:rFonts w:ascii="Times New Roman" w:eastAsia="Times New Roman" w:hAnsi="Times New Roman"/>
                <w:bCs/>
                <w:sz w:val="24"/>
                <w:szCs w:val="24"/>
                <w:lang w:val="vi-VN" w:eastAsia="vi-VN"/>
              </w:rPr>
              <w:t>Tổng vốn đầu tư dự kiến: 70 tỷ đồng</w:t>
            </w:r>
          </w:p>
          <w:p w:rsidR="003D4B43" w:rsidRPr="008C5BF4" w:rsidRDefault="003D4B43"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Công suất / sản lượng / mô tả:</w:t>
            </w:r>
            <w:r w:rsidRPr="008C5BF4">
              <w:rPr>
                <w:rFonts w:ascii="Times New Roman" w:eastAsia="Times New Roman" w:hAnsi="Times New Roman"/>
                <w:i/>
                <w:sz w:val="24"/>
                <w:szCs w:val="24"/>
                <w:lang w:val="vi-VN" w:eastAsia="vi-VN"/>
              </w:rPr>
              <w:t xml:space="preserve"> </w:t>
            </w:r>
            <w:r w:rsidRPr="008C5BF4">
              <w:rPr>
                <w:rFonts w:ascii="Times New Roman" w:eastAsia="Times New Roman" w:hAnsi="Times New Roman"/>
                <w:sz w:val="24"/>
                <w:szCs w:val="24"/>
                <w:lang w:val="vi-VN" w:eastAsia="vi-VN"/>
              </w:rPr>
              <w:t>Gồm các hạng mục</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Khu dịch vụ:  6.100m2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Khu trò chơi: 18.000m2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Bãi tắm ven sông: 15.000m2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Cây xanh sân vườn: 18.250m2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Kênh rạch: 5.300m2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Đường loại 1: 1.350m2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Đường loại 2: 1.575m2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Đường loại 3: 1.575m2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Nhà thuyền: 6.800m2</w:t>
            </w:r>
          </w:p>
          <w:p w:rsidR="003D4B43" w:rsidRPr="008C5BF4" w:rsidRDefault="003D4B43" w:rsidP="00AF0F42">
            <w:pPr>
              <w:numPr>
                <w:ilvl w:val="0"/>
                <w:numId w:val="1"/>
              </w:num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Trạm đón tiếp dường sông 1: 200m2</w:t>
            </w:r>
          </w:p>
          <w:p w:rsidR="003D4B43" w:rsidRPr="008C5BF4" w:rsidRDefault="003D4B43" w:rsidP="00AF0F42">
            <w:pPr>
              <w:spacing w:after="0" w:line="240" w:lineRule="auto"/>
              <w:jc w:val="both"/>
              <w:rPr>
                <w:rFonts w:ascii="Times New Roman" w:eastAsia="Times New Roman" w:hAnsi="Times New Roman"/>
                <w:sz w:val="24"/>
                <w:szCs w:val="24"/>
                <w:lang w:val="vi-VN" w:eastAsia="vi-VN"/>
              </w:rPr>
            </w:pPr>
          </w:p>
        </w:tc>
        <w:bookmarkStart w:id="0" w:name="_GoBack"/>
        <w:bookmarkEnd w:id="0"/>
      </w:tr>
      <w:tr w:rsidR="003D4B43" w:rsidRPr="008C5BF4" w:rsidTr="00AF0F42">
        <w:tc>
          <w:tcPr>
            <w:tcW w:w="2376" w:type="dxa"/>
          </w:tcPr>
          <w:p w:rsidR="003D4B43" w:rsidRPr="008C5BF4" w:rsidRDefault="003D4B43" w:rsidP="00AF0F42">
            <w:pPr>
              <w:spacing w:before="60" w:after="60" w:line="240" w:lineRule="auto"/>
              <w:rPr>
                <w:rFonts w:ascii="Times New Roman" w:eastAsia="Times New Roman" w:hAnsi="Times New Roman"/>
                <w:b/>
                <w:bCs/>
                <w:sz w:val="24"/>
                <w:szCs w:val="24"/>
                <w:lang w:val="vi-VN" w:eastAsia="vi-VN"/>
              </w:rPr>
            </w:pPr>
            <w:r w:rsidRPr="008C5BF4">
              <w:rPr>
                <w:rFonts w:ascii="Times New Roman" w:eastAsia="Times New Roman" w:hAnsi="Times New Roman"/>
                <w:b/>
                <w:sz w:val="24"/>
                <w:szCs w:val="24"/>
                <w:lang w:val="vi-VN" w:eastAsia="vi-VN"/>
              </w:rPr>
              <w:t xml:space="preserve">5. Căn cứ xây dựng dự án: </w:t>
            </w:r>
            <w:r w:rsidRPr="008C5BF4">
              <w:rPr>
                <w:rFonts w:ascii="Times New Roman" w:eastAsia="Times New Roman" w:hAnsi="Times New Roman"/>
                <w:b/>
                <w:sz w:val="24"/>
                <w:szCs w:val="24"/>
                <w:lang w:val="vi-VN" w:eastAsia="vi-VN"/>
              </w:rPr>
              <w:tab/>
            </w:r>
          </w:p>
        </w:tc>
        <w:tc>
          <w:tcPr>
            <w:tcW w:w="6758" w:type="dxa"/>
          </w:tcPr>
          <w:p w:rsidR="003D4B43" w:rsidRPr="008C5BF4" w:rsidRDefault="003D4B43"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Quyết định số 184/QĐ-UBND ngày 25/01/2013 của Ủy ban nhân dân tỉnh Tiền Giang về việc phê duyệt điều chỉnh cục bộ quy hoạch chi tiết phát triển du lịch cù lao Thới Sơn, thành phố Mỹ Tho, tỉnh Tiền Giang.</w:t>
            </w:r>
          </w:p>
          <w:p w:rsidR="003D4B43" w:rsidRPr="008C5BF4" w:rsidRDefault="003D4B43"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Quyết định số 2369/QĐ-UBND ngày 03/10/2013 của Ủy ban nhân dân tỉnh Tiền Giang về việc phê duyệt “Quy hoạch phát triển Du lịch tỉnh Tiền Giang đến năm 2020 và tầm nhìn 2030”.</w:t>
            </w:r>
          </w:p>
        </w:tc>
      </w:tr>
      <w:tr w:rsidR="003D4B43" w:rsidRPr="008C5BF4" w:rsidTr="00AF0F42">
        <w:tc>
          <w:tcPr>
            <w:tcW w:w="2376" w:type="dxa"/>
          </w:tcPr>
          <w:p w:rsidR="003D4B43" w:rsidRPr="008C5BF4" w:rsidRDefault="003D4B43" w:rsidP="00AF0F42">
            <w:pPr>
              <w:spacing w:before="60" w:after="6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6. Vị trí khu đất dự án: </w:t>
            </w:r>
            <w:r w:rsidRPr="008C5BF4">
              <w:rPr>
                <w:rFonts w:ascii="Times New Roman" w:eastAsia="Times New Roman" w:hAnsi="Times New Roman"/>
                <w:b/>
                <w:sz w:val="24"/>
                <w:szCs w:val="24"/>
                <w:lang w:val="vi-VN" w:eastAsia="vi-VN"/>
              </w:rPr>
              <w:tab/>
            </w:r>
          </w:p>
        </w:tc>
        <w:tc>
          <w:tcPr>
            <w:tcW w:w="6758" w:type="dxa"/>
          </w:tcPr>
          <w:p w:rsidR="003D4B43" w:rsidRPr="008C5BF4" w:rsidRDefault="003D4B43"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6"/>
                <w:szCs w:val="26"/>
                <w:lang w:val="vi-VN" w:eastAsia="vi-VN"/>
              </w:rPr>
              <w:t xml:space="preserve">- Nằm cuối cồn Thới Sơn, TP Mỹ Tho. </w:t>
            </w:r>
          </w:p>
          <w:p w:rsidR="003D4B43" w:rsidRPr="008C5BF4" w:rsidRDefault="003D4B43"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b/>
                <w:sz w:val="24"/>
                <w:szCs w:val="24"/>
                <w:lang w:val="vi-VN" w:eastAsia="vi-VN"/>
              </w:rPr>
              <w:t xml:space="preserve">- </w:t>
            </w:r>
            <w:r w:rsidRPr="008C5BF4">
              <w:rPr>
                <w:rFonts w:ascii="Times New Roman" w:eastAsia="Times New Roman" w:hAnsi="Times New Roman"/>
                <w:sz w:val="24"/>
                <w:szCs w:val="24"/>
                <w:lang w:val="vi-VN" w:eastAsia="vi-VN"/>
              </w:rPr>
              <w:t xml:space="preserve">Liên hệ vùng: </w:t>
            </w:r>
            <w:r w:rsidRPr="008C5BF4">
              <w:rPr>
                <w:rFonts w:ascii="Times New Roman" w:eastAsia="Times New Roman" w:hAnsi="Times New Roman"/>
                <w:sz w:val="26"/>
                <w:szCs w:val="26"/>
                <w:lang w:val="vi-VN" w:eastAsia="vi-VN"/>
              </w:rPr>
              <w:t>nằm cuối cồn Thới Sơn</w:t>
            </w:r>
            <w:r w:rsidRPr="008C5BF4">
              <w:rPr>
                <w:rFonts w:ascii="Times New Roman" w:eastAsia="Times New Roman" w:hAnsi="Times New Roman"/>
                <w:sz w:val="24"/>
                <w:szCs w:val="24"/>
                <w:lang w:val="vi-VN" w:eastAsia="vi-VN"/>
              </w:rPr>
              <w:t xml:space="preserve">, cách trung tâm TP Mỹ Tho khoảng </w:t>
            </w:r>
            <w:r w:rsidRPr="008C5BF4">
              <w:rPr>
                <w:rFonts w:ascii="Times New Roman" w:eastAsia="Times New Roman" w:hAnsi="Times New Roman"/>
                <w:sz w:val="26"/>
                <w:szCs w:val="26"/>
                <w:lang w:val="vi-VN" w:eastAsia="vi-VN"/>
              </w:rPr>
              <w:t xml:space="preserve">7km </w:t>
            </w:r>
            <w:r w:rsidRPr="008C5BF4">
              <w:rPr>
                <w:rFonts w:ascii="Times New Roman" w:eastAsia="Times New Roman" w:hAnsi="Times New Roman"/>
                <w:sz w:val="24"/>
                <w:szCs w:val="24"/>
                <w:lang w:val="vi-VN" w:eastAsia="vi-VN"/>
              </w:rPr>
              <w:t>về hướng Nam, cách TP HCM 70km về hướng Nam.</w:t>
            </w:r>
          </w:p>
        </w:tc>
      </w:tr>
      <w:tr w:rsidR="003D4B43" w:rsidRPr="008C5BF4" w:rsidTr="00AF0F42">
        <w:trPr>
          <w:trHeight w:val="585"/>
        </w:trPr>
        <w:tc>
          <w:tcPr>
            <w:tcW w:w="2376" w:type="dxa"/>
          </w:tcPr>
          <w:p w:rsidR="003D4B43" w:rsidRPr="008C5BF4" w:rsidRDefault="003D4B43" w:rsidP="00AF0F42">
            <w:pPr>
              <w:spacing w:before="60" w:after="6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7. Một số thông tin dự án</w:t>
            </w:r>
            <w:r w:rsidRPr="008C5BF4">
              <w:rPr>
                <w:rFonts w:ascii="Times New Roman" w:eastAsia="Times New Roman" w:hAnsi="Times New Roman"/>
                <w:b/>
                <w:sz w:val="24"/>
                <w:szCs w:val="24"/>
                <w:lang w:val="vi-VN" w:eastAsia="vi-VN"/>
              </w:rPr>
              <w:tab/>
            </w:r>
          </w:p>
        </w:tc>
        <w:tc>
          <w:tcPr>
            <w:tcW w:w="6758" w:type="dxa"/>
          </w:tcPr>
          <w:p w:rsidR="003D4B43" w:rsidRPr="008C5BF4" w:rsidRDefault="003D4B43" w:rsidP="00AF0F42">
            <w:pPr>
              <w:spacing w:after="0" w:line="240" w:lineRule="auto"/>
              <w:jc w:val="both"/>
              <w:rPr>
                <w:rFonts w:ascii="Times New Roman" w:eastAsia="Times New Roman" w:hAnsi="Times New Roman"/>
                <w:b/>
                <w:i/>
                <w:sz w:val="24"/>
                <w:szCs w:val="24"/>
                <w:lang w:val="vi-VN" w:eastAsia="vi-VN"/>
              </w:rPr>
            </w:pPr>
          </w:p>
          <w:p w:rsidR="003D4B43" w:rsidRPr="008C5BF4" w:rsidRDefault="003D4B43" w:rsidP="00AF0F42">
            <w:pPr>
              <w:spacing w:after="0" w:line="240" w:lineRule="auto"/>
              <w:jc w:val="both"/>
              <w:rPr>
                <w:rFonts w:ascii="Times New Roman" w:eastAsia="Times New Roman" w:hAnsi="Times New Roman"/>
                <w:b/>
                <w:color w:val="FF0000"/>
                <w:sz w:val="24"/>
                <w:szCs w:val="24"/>
                <w:lang w:val="vi-VN"/>
              </w:rPr>
            </w:pPr>
          </w:p>
        </w:tc>
      </w:tr>
      <w:tr w:rsidR="003D4B43" w:rsidRPr="008C5BF4" w:rsidTr="00AF0F42">
        <w:trPr>
          <w:trHeight w:val="600"/>
        </w:trPr>
        <w:tc>
          <w:tcPr>
            <w:tcW w:w="2376" w:type="dxa"/>
          </w:tcPr>
          <w:p w:rsidR="003D4B43" w:rsidRPr="008C5BF4" w:rsidRDefault="003D4B43"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Đất đai</w:t>
            </w:r>
          </w:p>
        </w:tc>
        <w:tc>
          <w:tcPr>
            <w:tcW w:w="6758" w:type="dxa"/>
          </w:tcPr>
          <w:p w:rsidR="003D4B43" w:rsidRPr="008C5BF4" w:rsidRDefault="003D4B43" w:rsidP="00AF0F42">
            <w:pPr>
              <w:spacing w:after="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sz w:val="24"/>
                <w:szCs w:val="24"/>
                <w:lang w:val="vi-VN" w:eastAsia="vi-VN"/>
              </w:rPr>
              <w:t>- Đất</w:t>
            </w:r>
            <w:r w:rsidRPr="008C5BF4">
              <w:rPr>
                <w:rFonts w:ascii="Times New Roman" w:eastAsia="Times New Roman" w:hAnsi="Times New Roman"/>
                <w:b/>
                <w:i/>
                <w:sz w:val="24"/>
                <w:szCs w:val="24"/>
                <w:lang w:val="vi-VN" w:eastAsia="vi-VN"/>
              </w:rPr>
              <w:t xml:space="preserve"> </w:t>
            </w:r>
            <w:r w:rsidRPr="008C5BF4">
              <w:rPr>
                <w:rFonts w:ascii="Times New Roman" w:eastAsia="Times New Roman" w:hAnsi="Times New Roman"/>
                <w:sz w:val="24"/>
                <w:szCs w:val="24"/>
                <w:lang w:val="vi-VN" w:eastAsia="vi-VN"/>
              </w:rPr>
              <w:t>nông nghiệp</w:t>
            </w:r>
            <w:r w:rsidRPr="008C5BF4">
              <w:rPr>
                <w:rFonts w:ascii="Times New Roman" w:eastAsia="Times New Roman" w:hAnsi="Times New Roman"/>
                <w:sz w:val="24"/>
                <w:szCs w:val="24"/>
                <w:lang w:eastAsia="vi-VN"/>
              </w:rPr>
              <w:t>,</w:t>
            </w:r>
            <w:r w:rsidRPr="008C5BF4">
              <w:rPr>
                <w:rFonts w:ascii="Times New Roman" w:eastAsia="Times New Roman" w:hAnsi="Times New Roman"/>
                <w:sz w:val="24"/>
                <w:szCs w:val="24"/>
                <w:lang w:val="vi-VN" w:eastAsia="vi-VN"/>
              </w:rPr>
              <w:t xml:space="preserve"> </w:t>
            </w:r>
            <w:r w:rsidRPr="008C5BF4">
              <w:rPr>
                <w:rFonts w:ascii="Times New Roman" w:eastAsia="Times New Roman" w:hAnsi="Times New Roman"/>
                <w:sz w:val="24"/>
                <w:szCs w:val="24"/>
                <w:lang w:eastAsia="vi-VN"/>
              </w:rPr>
              <w:t>m</w:t>
            </w:r>
            <w:r w:rsidRPr="008C5BF4">
              <w:rPr>
                <w:rFonts w:ascii="Times New Roman" w:eastAsia="Times New Roman" w:hAnsi="Times New Roman"/>
                <w:sz w:val="24"/>
                <w:szCs w:val="24"/>
                <w:lang w:val="vi-VN" w:eastAsia="vi-VN"/>
              </w:rPr>
              <w:t>ặt bằng chưa được giải phóng.</w:t>
            </w:r>
          </w:p>
        </w:tc>
      </w:tr>
      <w:tr w:rsidR="003D4B43" w:rsidRPr="008C5BF4" w:rsidTr="00AF0F42">
        <w:trPr>
          <w:trHeight w:val="540"/>
        </w:trPr>
        <w:tc>
          <w:tcPr>
            <w:tcW w:w="2376" w:type="dxa"/>
          </w:tcPr>
          <w:p w:rsidR="003D4B43" w:rsidRPr="008C5BF4" w:rsidRDefault="003D4B43"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Kết nối giao thông</w:t>
            </w:r>
          </w:p>
        </w:tc>
        <w:tc>
          <w:tcPr>
            <w:tcW w:w="6758" w:type="dxa"/>
          </w:tcPr>
          <w:p w:rsidR="003D4B43" w:rsidRPr="008C5BF4" w:rsidRDefault="003D4B43" w:rsidP="00AF0F42">
            <w:pPr>
              <w:spacing w:before="100" w:beforeAutospacing="1" w:after="100" w:afterAutospacing="1" w:line="240" w:lineRule="auto"/>
              <w:jc w:val="both"/>
              <w:rPr>
                <w:rFonts w:ascii="Times New Roman" w:eastAsia="Times New Roman" w:hAnsi="Times New Roman"/>
                <w:b/>
                <w:i/>
                <w:sz w:val="24"/>
                <w:szCs w:val="24"/>
              </w:rPr>
            </w:pPr>
            <w:r w:rsidRPr="008C5BF4">
              <w:rPr>
                <w:rFonts w:ascii="Times New Roman" w:eastAsia="Times New Roman" w:hAnsi="Times New Roman"/>
                <w:sz w:val="24"/>
                <w:szCs w:val="24"/>
                <w:lang w:val="vi-VN" w:eastAsia="ja-JP"/>
              </w:rPr>
              <w:t>-</w:t>
            </w:r>
            <w:r w:rsidRPr="008C5BF4">
              <w:rPr>
                <w:rFonts w:ascii="Times New Roman" w:eastAsia="Times New Roman" w:hAnsi="Times New Roman"/>
                <w:i/>
                <w:sz w:val="24"/>
                <w:szCs w:val="24"/>
                <w:lang w:val="vi-VN"/>
              </w:rPr>
              <w:t xml:space="preserve"> Hạ tầng giao thông:</w:t>
            </w:r>
            <w:r w:rsidRPr="008C5BF4">
              <w:rPr>
                <w:rFonts w:ascii="Times New Roman" w:eastAsia="Times New Roman" w:hAnsi="Times New Roman"/>
                <w:color w:val="FF0000"/>
                <w:sz w:val="24"/>
                <w:szCs w:val="24"/>
                <w:lang w:val="vi-VN"/>
              </w:rPr>
              <w:t xml:space="preserve"> </w:t>
            </w:r>
            <w:r w:rsidRPr="008C5BF4">
              <w:rPr>
                <w:rFonts w:ascii="Times New Roman" w:eastAsia="Times New Roman" w:hAnsi="Times New Roman"/>
                <w:sz w:val="24"/>
                <w:szCs w:val="24"/>
                <w:lang w:val="vi-VN"/>
              </w:rPr>
              <w:t>hoàn chỉnh</w:t>
            </w:r>
            <w:r w:rsidRPr="008C5BF4">
              <w:rPr>
                <w:rFonts w:ascii="Times New Roman" w:eastAsia="Times New Roman" w:hAnsi="Times New Roman"/>
                <w:sz w:val="24"/>
                <w:szCs w:val="24"/>
              </w:rPr>
              <w:t>,</w:t>
            </w:r>
            <w:r w:rsidRPr="008C5BF4">
              <w:rPr>
                <w:rFonts w:ascii="Times New Roman" w:eastAsia="Times New Roman" w:hAnsi="Times New Roman"/>
                <w:sz w:val="24"/>
                <w:szCs w:val="24"/>
                <w:lang w:val="vi-VN"/>
              </w:rPr>
              <w:t xml:space="preserve"> thuận lợi giao thông thủy, bộ.</w:t>
            </w:r>
            <w:r w:rsidRPr="008C5BF4">
              <w:rPr>
                <w:rFonts w:ascii="Times New Roman" w:eastAsia="Times New Roman" w:hAnsi="Times New Roman"/>
                <w:b/>
                <w:sz w:val="24"/>
                <w:szCs w:val="24"/>
                <w:lang w:val="vi-VN"/>
              </w:rPr>
              <w:t xml:space="preserve"> </w:t>
            </w:r>
          </w:p>
        </w:tc>
      </w:tr>
      <w:tr w:rsidR="003D4B43" w:rsidRPr="008C5BF4" w:rsidTr="00AF0F42">
        <w:trPr>
          <w:trHeight w:val="677"/>
        </w:trPr>
        <w:tc>
          <w:tcPr>
            <w:tcW w:w="2376" w:type="dxa"/>
          </w:tcPr>
          <w:p w:rsidR="003D4B43" w:rsidRPr="008C5BF4" w:rsidRDefault="003D4B43"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Nguồn điện</w:t>
            </w:r>
            <w:r w:rsidRPr="008C5BF4">
              <w:rPr>
                <w:rFonts w:ascii="Times New Roman" w:eastAsia="Times New Roman" w:hAnsi="Times New Roman"/>
                <w:b/>
                <w:i/>
                <w:sz w:val="24"/>
                <w:szCs w:val="24"/>
                <w:lang w:val="vi-VN" w:eastAsia="vi-VN"/>
              </w:rPr>
              <w:tab/>
            </w:r>
          </w:p>
        </w:tc>
        <w:tc>
          <w:tcPr>
            <w:tcW w:w="6758" w:type="dxa"/>
          </w:tcPr>
          <w:p w:rsidR="003D4B43" w:rsidRPr="008C5BF4" w:rsidRDefault="003D4B43" w:rsidP="00AF0F42">
            <w:pPr>
              <w:spacing w:after="0" w:line="240" w:lineRule="auto"/>
              <w:rPr>
                <w:rFonts w:ascii="Times New Roman" w:eastAsia="Times New Roman" w:hAnsi="Times New Roman"/>
                <w:sz w:val="24"/>
                <w:szCs w:val="24"/>
                <w:lang w:eastAsia="vi-VN"/>
              </w:rPr>
            </w:pPr>
            <w:r w:rsidRPr="008C5BF4">
              <w:rPr>
                <w:rFonts w:ascii="Times New Roman" w:eastAsia="Times New Roman" w:hAnsi="Times New Roman"/>
                <w:sz w:val="24"/>
                <w:szCs w:val="24"/>
                <w:lang w:val="vi-VN" w:eastAsia="vi-VN"/>
              </w:rPr>
              <w:t>Nguồn điện cung cấp cho dự án từ lưới điện quốc gia, đảm bảo cung cấp đầy đủ và ổn định.</w:t>
            </w:r>
          </w:p>
        </w:tc>
      </w:tr>
      <w:tr w:rsidR="003D4B43" w:rsidRPr="008C5BF4" w:rsidTr="00AF0F42">
        <w:trPr>
          <w:trHeight w:val="447"/>
        </w:trPr>
        <w:tc>
          <w:tcPr>
            <w:tcW w:w="2376" w:type="dxa"/>
          </w:tcPr>
          <w:p w:rsidR="003D4B43" w:rsidRPr="008C5BF4" w:rsidRDefault="003D4B43" w:rsidP="00AF0F42">
            <w:pPr>
              <w:spacing w:before="60" w:after="60" w:line="240" w:lineRule="auto"/>
              <w:jc w:val="both"/>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Nguồn nước</w:t>
            </w:r>
          </w:p>
        </w:tc>
        <w:tc>
          <w:tcPr>
            <w:tcW w:w="6758" w:type="dxa"/>
          </w:tcPr>
          <w:p w:rsidR="003D4B43" w:rsidRPr="008C5BF4" w:rsidRDefault="003D4B43" w:rsidP="00AF0F42">
            <w:pPr>
              <w:spacing w:before="60" w:after="60" w:line="240" w:lineRule="auto"/>
              <w:jc w:val="both"/>
              <w:rPr>
                <w:rFonts w:ascii="Times New Roman" w:eastAsia="Times New Roman" w:hAnsi="Times New Roman"/>
                <w:sz w:val="24"/>
                <w:szCs w:val="24"/>
                <w:lang w:eastAsia="vi-VN"/>
              </w:rPr>
            </w:pPr>
            <w:r w:rsidRPr="008C5BF4">
              <w:rPr>
                <w:rFonts w:ascii="Times New Roman" w:eastAsia="Times New Roman" w:hAnsi="Times New Roman"/>
                <w:sz w:val="24"/>
                <w:szCs w:val="24"/>
                <w:lang w:val="vi-VN" w:eastAsia="vi-VN"/>
              </w:rPr>
              <w:t xml:space="preserve"> </w:t>
            </w:r>
            <w:r w:rsidRPr="008C5BF4">
              <w:rPr>
                <w:rFonts w:ascii="Times New Roman" w:eastAsia="Times New Roman" w:hAnsi="Times New Roman"/>
                <w:sz w:val="24"/>
                <w:szCs w:val="24"/>
                <w:lang w:eastAsia="vi-VN"/>
              </w:rPr>
              <w:t>Đảm bảo đấu nối và cung cấp đầy đủ cho dự án</w:t>
            </w:r>
          </w:p>
        </w:tc>
      </w:tr>
      <w:tr w:rsidR="003D4B43" w:rsidRPr="008C5BF4" w:rsidTr="00AF0F42">
        <w:trPr>
          <w:trHeight w:val="810"/>
        </w:trPr>
        <w:tc>
          <w:tcPr>
            <w:tcW w:w="2376" w:type="dxa"/>
          </w:tcPr>
          <w:p w:rsidR="003D4B43" w:rsidRPr="008C5BF4" w:rsidRDefault="003D4B43" w:rsidP="00AF0F42">
            <w:pPr>
              <w:spacing w:before="60" w:after="60" w:line="240" w:lineRule="auto"/>
              <w:jc w:val="both"/>
              <w:rPr>
                <w:rFonts w:ascii="Times New Roman" w:eastAsia="Times New Roman" w:hAnsi="Times New Roman"/>
                <w:b/>
                <w:i/>
                <w:sz w:val="24"/>
                <w:szCs w:val="24"/>
                <w:lang w:val="vi-VN" w:eastAsia="vi-VN"/>
              </w:rPr>
            </w:pPr>
            <w:r w:rsidRPr="008C5BF4">
              <w:rPr>
                <w:rFonts w:ascii="Times New Roman" w:eastAsia="Times New Roman" w:hAnsi="Times New Roman"/>
                <w:b/>
                <w:i/>
                <w:sz w:val="24"/>
                <w:szCs w:val="24"/>
                <w:lang w:val="vi-VN" w:eastAsia="vi-VN"/>
              </w:rPr>
              <w:lastRenderedPageBreak/>
              <w:t>Xử lý chất thải/ nước thải</w:t>
            </w:r>
          </w:p>
        </w:tc>
        <w:tc>
          <w:tcPr>
            <w:tcW w:w="6758" w:type="dxa"/>
          </w:tcPr>
          <w:p w:rsidR="003D4B43" w:rsidRPr="008C5BF4" w:rsidRDefault="003D4B43" w:rsidP="00AF0F42">
            <w:pPr>
              <w:spacing w:after="0" w:line="240" w:lineRule="auto"/>
              <w:jc w:val="both"/>
              <w:rPr>
                <w:rFonts w:ascii="Times New Roman" w:eastAsia="Times New Roman" w:hAnsi="Times New Roman"/>
                <w:sz w:val="24"/>
                <w:szCs w:val="24"/>
                <w:lang w:val="vi-VN"/>
              </w:rPr>
            </w:pPr>
            <w:r w:rsidRPr="008C5BF4">
              <w:rPr>
                <w:rFonts w:ascii="Times New Roman" w:eastAsia="Times New Roman" w:hAnsi="Times New Roman"/>
                <w:sz w:val="24"/>
                <w:szCs w:val="24"/>
                <w:lang w:val="vi-VN"/>
              </w:rPr>
              <w:t>- Biện pháp xử lý chất thải: thu gom xử lý tập trung</w:t>
            </w:r>
          </w:p>
          <w:p w:rsidR="003D4B43" w:rsidRPr="008C5BF4" w:rsidRDefault="003D4B43" w:rsidP="00AF0F42">
            <w:pPr>
              <w:spacing w:after="0" w:line="240" w:lineRule="auto"/>
              <w:jc w:val="both"/>
              <w:rPr>
                <w:rFonts w:ascii="Times New Roman" w:eastAsia="Times New Roman" w:hAnsi="Times New Roman"/>
                <w:sz w:val="24"/>
                <w:szCs w:val="24"/>
                <w:lang w:val="vi-VN"/>
              </w:rPr>
            </w:pPr>
            <w:r w:rsidRPr="008C5BF4">
              <w:rPr>
                <w:rFonts w:ascii="Times New Roman" w:eastAsia="Times New Roman" w:hAnsi="Times New Roman"/>
                <w:sz w:val="24"/>
                <w:szCs w:val="24"/>
                <w:lang w:val="vi-VN"/>
              </w:rPr>
              <w:t>- Biện pháp xử lý nước thải: xây dựng hệ thống cống rãnh thoát nước.</w:t>
            </w:r>
          </w:p>
        </w:tc>
      </w:tr>
      <w:tr w:rsidR="003D4B43" w:rsidRPr="008C5BF4" w:rsidTr="00AF0F42">
        <w:tc>
          <w:tcPr>
            <w:tcW w:w="2376" w:type="dxa"/>
          </w:tcPr>
          <w:p w:rsidR="003D4B43" w:rsidRPr="008C5BF4" w:rsidRDefault="003D4B43"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8. Điều kiện được hưởng ưu đãi đầu tư và ưu đãi đầu tư</w:t>
            </w:r>
            <w:r w:rsidRPr="008C5BF4">
              <w:rPr>
                <w:rFonts w:ascii="Times New Roman" w:eastAsia="Times New Roman" w:hAnsi="Times New Roman"/>
                <w:b/>
                <w:sz w:val="24"/>
                <w:szCs w:val="24"/>
                <w:lang w:val="vi-VN" w:eastAsia="vi-VN"/>
              </w:rPr>
              <w:tab/>
              <w:t xml:space="preserve"> </w:t>
            </w:r>
          </w:p>
        </w:tc>
        <w:tc>
          <w:tcPr>
            <w:tcW w:w="6758" w:type="dxa"/>
          </w:tcPr>
          <w:p w:rsidR="003D4B43" w:rsidRPr="008C5BF4" w:rsidRDefault="003D4B43" w:rsidP="00AF0F42">
            <w:pPr>
              <w:spacing w:before="60" w:after="6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Miễn tiền thuê đất, thuê mặt nước trong thời gian xây dựng cơ bản theo dự án được cấp có thẩm quyền phê duyệt nhưng tối đa không quá 03 năm kể từ ngày có quyết định cho thuê đất, thuê mặt nước. </w:t>
            </w:r>
          </w:p>
        </w:tc>
      </w:tr>
      <w:tr w:rsidR="003D4B43" w:rsidRPr="008C5BF4" w:rsidTr="00AF0F42">
        <w:tc>
          <w:tcPr>
            <w:tcW w:w="2376" w:type="dxa"/>
          </w:tcPr>
          <w:p w:rsidR="003D4B43" w:rsidRPr="008C5BF4" w:rsidRDefault="003D4B43" w:rsidP="00AF0F42">
            <w:pPr>
              <w:spacing w:before="60" w:after="60" w:line="240" w:lineRule="auto"/>
              <w:rPr>
                <w:rFonts w:ascii="Times New Roman" w:eastAsia="Times New Roman" w:hAnsi="Times New Roman"/>
                <w:b/>
                <w:bCs/>
                <w:sz w:val="24"/>
                <w:szCs w:val="24"/>
                <w:lang w:val="vi-VN" w:eastAsia="vi-VN"/>
              </w:rPr>
            </w:pPr>
            <w:r w:rsidRPr="008C5BF4">
              <w:rPr>
                <w:rFonts w:ascii="Times New Roman" w:eastAsia="Times New Roman" w:hAnsi="Times New Roman"/>
                <w:b/>
                <w:sz w:val="24"/>
                <w:szCs w:val="24"/>
                <w:lang w:val="vi-VN" w:eastAsia="vi-VN"/>
              </w:rPr>
              <w:t xml:space="preserve">9. Hiệu quả xã hội của dự án: </w:t>
            </w:r>
            <w:r w:rsidRPr="008C5BF4">
              <w:rPr>
                <w:rFonts w:ascii="Times New Roman" w:eastAsia="Times New Roman" w:hAnsi="Times New Roman"/>
                <w:b/>
                <w:bCs/>
                <w:sz w:val="24"/>
                <w:szCs w:val="24"/>
                <w:lang w:val="vi-VN" w:eastAsia="vi-VN"/>
              </w:rPr>
              <w:t xml:space="preserve"> </w:t>
            </w:r>
          </w:p>
        </w:tc>
        <w:tc>
          <w:tcPr>
            <w:tcW w:w="6758" w:type="dxa"/>
          </w:tcPr>
          <w:p w:rsidR="003D4B43" w:rsidRPr="008C5BF4" w:rsidRDefault="003D4B43"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Tạo việc làm, cải thiện thu nhập cho dân địa phương, góp phần phát triển kinh tế-xã hội cho xã Thới Sơn nói riêng và tỉnh Tiền Giang nói chung.</w:t>
            </w:r>
          </w:p>
          <w:p w:rsidR="003D4B43" w:rsidRPr="008C5BF4" w:rsidRDefault="003D4B43"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Góp phần bảo tồn, giữ gìn cảnh quan môi trường tự nhiên, bản sắc văn hóa của địa phương theo phương châm “khai thác hiện tại, không làm tổn hại tương lai.”</w:t>
            </w:r>
          </w:p>
          <w:p w:rsidR="003D4B43" w:rsidRPr="008C5BF4" w:rsidRDefault="003D4B43" w:rsidP="00AF0F42">
            <w:pPr>
              <w:spacing w:before="60" w:after="60" w:line="240" w:lineRule="auto"/>
              <w:rPr>
                <w:rFonts w:ascii="Times New Roman" w:eastAsia="Times New Roman" w:hAnsi="Times New Roman"/>
                <w:bCs/>
                <w:sz w:val="24"/>
                <w:szCs w:val="24"/>
                <w:lang w:val="vi-VN" w:eastAsia="vi-VN"/>
              </w:rPr>
            </w:pPr>
          </w:p>
        </w:tc>
      </w:tr>
    </w:tbl>
    <w:p w:rsidR="003541C1" w:rsidRDefault="003D4B43"/>
    <w:sectPr w:rsidR="0035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34202"/>
    <w:multiLevelType w:val="hybridMultilevel"/>
    <w:tmpl w:val="E3A246D0"/>
    <w:lvl w:ilvl="0" w:tplc="8BD63412">
      <w:start w:val="7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43"/>
    <w:rsid w:val="003D4B43"/>
    <w:rsid w:val="006E2ADB"/>
    <w:rsid w:val="0070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2019-07-31T06:40:00Z</dcterms:created>
  <dcterms:modified xsi:type="dcterms:W3CDTF">2019-07-31T06:42:00Z</dcterms:modified>
</cp:coreProperties>
</file>